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D3" w:rsidRPr="007F438C" w:rsidRDefault="000B7B48" w:rsidP="00EB4F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438C">
        <w:rPr>
          <w:rFonts w:ascii="Arial" w:hAnsi="Arial" w:cs="Arial"/>
          <w:b/>
          <w:sz w:val="24"/>
          <w:szCs w:val="24"/>
        </w:rPr>
        <w:t>«Επιχορήγηση από το πρόγραμμα ‘Φιλόδημος  ΙΙ’ για τα Κέντρα Δημιουργικής Απασχόλησης»</w:t>
      </w:r>
    </w:p>
    <w:p w:rsidR="000B7B48" w:rsidRDefault="000B7B48" w:rsidP="00EB4F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7B48" w:rsidRDefault="00B53992" w:rsidP="00EB4F9B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4C59" w:rsidRPr="00394C59">
        <w:rPr>
          <w:rFonts w:ascii="Arial" w:hAnsi="Arial" w:cs="Arial"/>
          <w:sz w:val="24"/>
          <w:szCs w:val="24"/>
        </w:rPr>
        <w:t xml:space="preserve">  </w:t>
      </w:r>
      <w:r w:rsidR="00394C59">
        <w:rPr>
          <w:rFonts w:ascii="Arial" w:hAnsi="Arial" w:cs="Arial"/>
          <w:sz w:val="24"/>
          <w:szCs w:val="24"/>
        </w:rPr>
        <w:t xml:space="preserve">Με το </w:t>
      </w:r>
      <w:proofErr w:type="spellStart"/>
      <w:r w:rsidR="00394C59">
        <w:rPr>
          <w:rFonts w:ascii="Arial" w:hAnsi="Arial" w:cs="Arial"/>
          <w:sz w:val="24"/>
          <w:szCs w:val="24"/>
        </w:rPr>
        <w:t>υπ΄</w:t>
      </w:r>
      <w:proofErr w:type="spellEnd"/>
      <w:r w:rsidR="00394C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C59">
        <w:rPr>
          <w:rFonts w:ascii="Arial" w:hAnsi="Arial" w:cs="Arial"/>
          <w:sz w:val="24"/>
          <w:szCs w:val="24"/>
        </w:rPr>
        <w:t>αριθμ</w:t>
      </w:r>
      <w:proofErr w:type="spellEnd"/>
      <w:r w:rsidR="00394C59">
        <w:rPr>
          <w:rFonts w:ascii="Arial" w:hAnsi="Arial" w:cs="Arial"/>
          <w:sz w:val="24"/>
          <w:szCs w:val="24"/>
        </w:rPr>
        <w:t>. 76686/</w:t>
      </w:r>
      <w:r w:rsidR="000B7B48">
        <w:rPr>
          <w:rFonts w:ascii="Arial" w:hAnsi="Arial" w:cs="Arial"/>
          <w:sz w:val="24"/>
          <w:szCs w:val="24"/>
        </w:rPr>
        <w:t xml:space="preserve">11-11-2020 έγγραφο του Υπουργείου Εσωτερικών αποφασίστηκε </w:t>
      </w:r>
      <w:r w:rsidR="000B7B48" w:rsidRPr="00EB4F9B">
        <w:rPr>
          <w:rFonts w:ascii="Arial" w:hAnsi="Arial" w:cs="Arial"/>
          <w:b/>
          <w:sz w:val="24"/>
          <w:szCs w:val="24"/>
        </w:rPr>
        <w:t xml:space="preserve">η επιχορήγηση </w:t>
      </w:r>
      <w:r w:rsidR="00AF63CD">
        <w:rPr>
          <w:rFonts w:ascii="Arial" w:hAnsi="Arial" w:cs="Arial"/>
          <w:b/>
          <w:sz w:val="24"/>
          <w:szCs w:val="24"/>
        </w:rPr>
        <w:t xml:space="preserve">μέγιστου ποσού </w:t>
      </w:r>
      <w:r w:rsidRPr="00EB4F9B">
        <w:rPr>
          <w:rFonts w:ascii="Arial" w:hAnsi="Arial" w:cs="Arial"/>
          <w:b/>
          <w:sz w:val="24"/>
          <w:szCs w:val="24"/>
        </w:rPr>
        <w:t xml:space="preserve"> 259.350€</w:t>
      </w:r>
      <w:r>
        <w:rPr>
          <w:rFonts w:ascii="Arial" w:hAnsi="Arial" w:cs="Arial"/>
          <w:sz w:val="24"/>
          <w:szCs w:val="24"/>
        </w:rPr>
        <w:t xml:space="preserve"> από το πρόγραμμα </w:t>
      </w:r>
      <w:r w:rsidRPr="00EB4F9B">
        <w:rPr>
          <w:rFonts w:ascii="Arial" w:hAnsi="Arial" w:cs="Arial"/>
          <w:b/>
          <w:sz w:val="24"/>
          <w:szCs w:val="24"/>
        </w:rPr>
        <w:t xml:space="preserve">«Φιλόδημος </w:t>
      </w:r>
      <w:r w:rsidRPr="00EB4F9B">
        <w:rPr>
          <w:rFonts w:ascii="Arial" w:hAnsi="Arial" w:cs="Arial"/>
          <w:b/>
          <w:sz w:val="24"/>
          <w:szCs w:val="24"/>
          <w:lang w:val="en-US"/>
        </w:rPr>
        <w:t>II</w:t>
      </w:r>
      <w:r w:rsidRPr="00EB4F9B">
        <w:rPr>
          <w:rFonts w:ascii="Arial" w:hAnsi="Arial" w:cs="Arial"/>
          <w:b/>
          <w:sz w:val="24"/>
          <w:szCs w:val="24"/>
        </w:rPr>
        <w:t>»</w:t>
      </w:r>
      <w:r w:rsidR="000B7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στην Κοινωφελή Επιχείρηση Δήμου Κασσάνδρας </w:t>
      </w:r>
      <w:r w:rsidRPr="00B53992">
        <w:rPr>
          <w:rFonts w:ascii="Arial" w:hAnsi="Arial" w:cs="Arial"/>
          <w:b/>
          <w:sz w:val="24"/>
          <w:szCs w:val="24"/>
        </w:rPr>
        <w:t>για την</w:t>
      </w:r>
      <w:r w:rsidRPr="00B53992">
        <w:rPr>
          <w:rFonts w:ascii="Arial" w:hAnsi="Arial" w:cs="Arial"/>
          <w:sz w:val="24"/>
          <w:szCs w:val="24"/>
        </w:rPr>
        <w:t xml:space="preserve"> </w:t>
      </w:r>
      <w:r w:rsidRPr="00B53992">
        <w:rPr>
          <w:rFonts w:ascii="Arial" w:hAnsi="Arial" w:cs="Arial"/>
          <w:b/>
          <w:sz w:val="24"/>
          <w:szCs w:val="24"/>
        </w:rPr>
        <w:t>κάλυψη κοινωνικών υπηρεσιών από τις δομές των Κέντρων Δημιουργικής Απασχόλησης Παιδιών</w:t>
      </w:r>
      <w:r>
        <w:rPr>
          <w:rFonts w:ascii="Arial" w:hAnsi="Arial" w:cs="Arial"/>
          <w:sz w:val="30"/>
          <w:szCs w:val="30"/>
        </w:rPr>
        <w:t xml:space="preserve">. </w:t>
      </w:r>
    </w:p>
    <w:p w:rsidR="00BA799F" w:rsidRDefault="00B53992" w:rsidP="00EB4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4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Η επιπλέον χρηματοδότηση των ΚΔΑΠ , που όπως φαίνεται </w:t>
      </w:r>
      <w:r w:rsidR="00EB4F9B">
        <w:rPr>
          <w:rFonts w:ascii="Arial" w:hAnsi="Arial" w:cs="Arial"/>
          <w:sz w:val="24"/>
          <w:szCs w:val="24"/>
        </w:rPr>
        <w:t xml:space="preserve">στο παράρτημα της απόφασης , 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BA799F" w:rsidRPr="00BA799F" w:rsidTr="00BA799F">
        <w:tc>
          <w:tcPr>
            <w:tcW w:w="2840" w:type="dxa"/>
          </w:tcPr>
          <w:p w:rsidR="00BA799F" w:rsidRP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99F">
              <w:rPr>
                <w:rFonts w:ascii="Arial" w:hAnsi="Arial" w:cs="Arial"/>
                <w:b/>
                <w:sz w:val="24"/>
                <w:szCs w:val="24"/>
              </w:rPr>
              <w:t>ΝΟΜΟΣ</w:t>
            </w:r>
          </w:p>
        </w:tc>
        <w:tc>
          <w:tcPr>
            <w:tcW w:w="2841" w:type="dxa"/>
          </w:tcPr>
          <w:p w:rsidR="00BA799F" w:rsidRP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99F">
              <w:rPr>
                <w:rFonts w:ascii="Arial" w:hAnsi="Arial" w:cs="Arial"/>
                <w:b/>
                <w:sz w:val="24"/>
                <w:szCs w:val="24"/>
              </w:rPr>
              <w:t>ΔΗΜΟΣ</w:t>
            </w:r>
          </w:p>
        </w:tc>
        <w:tc>
          <w:tcPr>
            <w:tcW w:w="2841" w:type="dxa"/>
          </w:tcPr>
          <w:p w:rsidR="00BA799F" w:rsidRP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99F">
              <w:rPr>
                <w:rFonts w:ascii="Arial" w:hAnsi="Arial" w:cs="Arial"/>
                <w:b/>
                <w:sz w:val="24"/>
                <w:szCs w:val="24"/>
              </w:rPr>
              <w:t>ΠΟΣΟ ΕΠΙΧΟΡΗΓΗΣΗΣ</w:t>
            </w:r>
          </w:p>
        </w:tc>
      </w:tr>
      <w:tr w:rsidR="00BA799F" w:rsidTr="00BA799F">
        <w:tc>
          <w:tcPr>
            <w:tcW w:w="2840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Χαλκιδικής</w:t>
            </w:r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Δήμος Αριστοτέλη</w:t>
            </w:r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227.430,00</w:t>
            </w:r>
          </w:p>
        </w:tc>
      </w:tr>
      <w:tr w:rsidR="00BA799F" w:rsidTr="00BA799F">
        <w:tc>
          <w:tcPr>
            <w:tcW w:w="2840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Χαλκιδικής</w:t>
            </w:r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Δήμος Κασσάνδρας</w:t>
            </w:r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259.350,00</w:t>
            </w:r>
          </w:p>
        </w:tc>
      </w:tr>
      <w:tr w:rsidR="00BA799F" w:rsidTr="00BA799F">
        <w:tc>
          <w:tcPr>
            <w:tcW w:w="2840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Χαλκιδικής</w:t>
            </w:r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Δήμος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Ν.Προποντίδας</w:t>
            </w:r>
            <w:proofErr w:type="spellEnd"/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207.480,00</w:t>
            </w:r>
          </w:p>
        </w:tc>
      </w:tr>
      <w:tr w:rsidR="00BA799F" w:rsidTr="00BA799F">
        <w:tc>
          <w:tcPr>
            <w:tcW w:w="2840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Χαλκιδικής</w:t>
            </w:r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Δήμος Πολυγύρου</w:t>
            </w:r>
          </w:p>
        </w:tc>
        <w:tc>
          <w:tcPr>
            <w:tcW w:w="2841" w:type="dxa"/>
          </w:tcPr>
          <w:p w:rsidR="00BA799F" w:rsidRDefault="00BA799F" w:rsidP="00BA79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99.750,00</w:t>
            </w:r>
          </w:p>
        </w:tc>
      </w:tr>
    </w:tbl>
    <w:p w:rsidR="00BA799F" w:rsidRDefault="00BA799F" w:rsidP="00EB4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3992" w:rsidRDefault="00EB4F9B" w:rsidP="00EB4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Δήμος Κασσάνδρας επιχορηγήθηκε με το μεγαλύτερο ποσό στο Νομό Χαλκιδικής </w:t>
      </w:r>
      <w:r w:rsidR="00016551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αφορά την κάλυψη  των επιλέξιμων δαπανών Μισθοδοσίας και Ασφαλιστικών εισφορών του προσωπικού που απασχολείται στις δομές αυτές,</w:t>
      </w:r>
      <w:r w:rsidRPr="00EB4F9B">
        <w:t xml:space="preserve"> </w:t>
      </w:r>
      <w:r w:rsidRPr="00EB4F9B">
        <w:rPr>
          <w:rFonts w:ascii="Arial" w:hAnsi="Arial" w:cs="Arial"/>
          <w:sz w:val="24"/>
          <w:szCs w:val="24"/>
        </w:rPr>
        <w:t>στην περίπτωση που δεν επαρκούν οι πόροι της Δράσης «</w:t>
      </w:r>
      <w:r w:rsidRPr="00EB4F9B">
        <w:rPr>
          <w:rStyle w:val="a3"/>
          <w:rFonts w:ascii="Arial" w:hAnsi="Arial" w:cs="Arial"/>
          <w:sz w:val="24"/>
          <w:szCs w:val="24"/>
        </w:rPr>
        <w:t>Εναρμόνιση Οικογενειακής και Επαγγελματικής ζωής</w:t>
      </w:r>
      <w:r w:rsidRPr="00EB4F9B">
        <w:rPr>
          <w:rFonts w:ascii="Arial" w:hAnsi="Arial" w:cs="Arial"/>
          <w:sz w:val="24"/>
          <w:szCs w:val="24"/>
        </w:rPr>
        <w:t xml:space="preserve">» για τον ετήσιο κύκλο 2020-2021.   </w:t>
      </w:r>
    </w:p>
    <w:p w:rsidR="00EB4F9B" w:rsidRDefault="00EB4F9B" w:rsidP="00EB4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F9B">
        <w:rPr>
          <w:rFonts w:ascii="Arial" w:hAnsi="Arial" w:cs="Arial"/>
          <w:sz w:val="24"/>
          <w:szCs w:val="24"/>
        </w:rPr>
        <w:t xml:space="preserve">    </w:t>
      </w:r>
      <w:r w:rsidRPr="00761179">
        <w:rPr>
          <w:rFonts w:ascii="Arial" w:hAnsi="Arial" w:cs="Arial"/>
          <w:sz w:val="24"/>
          <w:szCs w:val="24"/>
        </w:rPr>
        <w:t>Όσον αφορά το Δήμο μας, αν και υπήρχαν αιτήσεις για τις δομές μας με πλήρη φάκελο, δεν πήραν αξία τοποθέτησης (</w:t>
      </w:r>
      <w:proofErr w:type="spellStart"/>
      <w:r w:rsidRPr="00761179">
        <w:rPr>
          <w:rFonts w:ascii="Arial" w:hAnsi="Arial" w:cs="Arial"/>
          <w:sz w:val="24"/>
          <w:szCs w:val="24"/>
        </w:rPr>
        <w:t>voucher</w:t>
      </w:r>
      <w:proofErr w:type="spellEnd"/>
      <w:r w:rsidRPr="00761179">
        <w:rPr>
          <w:rFonts w:ascii="Arial" w:hAnsi="Arial" w:cs="Arial"/>
          <w:sz w:val="24"/>
          <w:szCs w:val="24"/>
        </w:rPr>
        <w:t xml:space="preserve">) όλοι οι αιτούντες γονείς με αποτέλεσμα ο αριθμός των ωφελούμενων που έλαβαν </w:t>
      </w:r>
      <w:proofErr w:type="spellStart"/>
      <w:r w:rsidRPr="00761179">
        <w:rPr>
          <w:rFonts w:ascii="Arial" w:hAnsi="Arial" w:cs="Arial"/>
          <w:sz w:val="24"/>
          <w:szCs w:val="24"/>
        </w:rPr>
        <w:t>voucher</w:t>
      </w:r>
      <w:proofErr w:type="spellEnd"/>
      <w:r w:rsidRPr="00761179">
        <w:rPr>
          <w:rFonts w:ascii="Arial" w:hAnsi="Arial" w:cs="Arial"/>
          <w:sz w:val="24"/>
          <w:szCs w:val="24"/>
        </w:rPr>
        <w:t>, να μειωθεί σε ποσοστό 40%</w:t>
      </w:r>
      <w:r w:rsidR="00394C59" w:rsidRPr="00394C59">
        <w:rPr>
          <w:rFonts w:ascii="Arial" w:hAnsi="Arial" w:cs="Arial"/>
          <w:sz w:val="24"/>
          <w:szCs w:val="24"/>
        </w:rPr>
        <w:t xml:space="preserve"> </w:t>
      </w:r>
      <w:r w:rsidRPr="00761179">
        <w:rPr>
          <w:rFonts w:ascii="Arial" w:hAnsi="Arial" w:cs="Arial"/>
          <w:sz w:val="24"/>
          <w:szCs w:val="24"/>
        </w:rPr>
        <w:t>περίπου συγκριτικά με πέρυσι. Η Κοινωφελής Επιχείρηση του Δήμου Κασσάνδρας όμως, τιμώντας τον Κοινωφελή Χαρακτήρα της, ειδικά σε αυτή τη δύσκολή περίσταση</w:t>
      </w:r>
      <w:r w:rsidR="00761179" w:rsidRPr="00761179">
        <w:rPr>
          <w:rFonts w:ascii="Arial" w:hAnsi="Arial" w:cs="Arial"/>
          <w:sz w:val="24"/>
          <w:szCs w:val="24"/>
        </w:rPr>
        <w:t xml:space="preserve"> </w:t>
      </w:r>
      <w:r w:rsidRPr="00761179">
        <w:rPr>
          <w:rFonts w:ascii="Arial" w:hAnsi="Arial" w:cs="Arial"/>
          <w:sz w:val="24"/>
          <w:szCs w:val="24"/>
        </w:rPr>
        <w:t>της πανδημίας</w:t>
      </w:r>
      <w:r w:rsidR="00761179">
        <w:rPr>
          <w:rFonts w:ascii="Arial" w:hAnsi="Arial" w:cs="Arial"/>
          <w:sz w:val="24"/>
          <w:szCs w:val="24"/>
        </w:rPr>
        <w:t xml:space="preserve">, </w:t>
      </w:r>
      <w:r w:rsidR="00761179" w:rsidRPr="00761179">
        <w:rPr>
          <w:rFonts w:ascii="Arial" w:hAnsi="Arial" w:cs="Arial"/>
          <w:sz w:val="24"/>
          <w:szCs w:val="24"/>
        </w:rPr>
        <w:t xml:space="preserve"> με την </w:t>
      </w:r>
      <w:proofErr w:type="spellStart"/>
      <w:r w:rsidR="00761179" w:rsidRPr="00761179">
        <w:rPr>
          <w:rFonts w:ascii="Arial" w:hAnsi="Arial" w:cs="Arial"/>
          <w:sz w:val="24"/>
          <w:szCs w:val="24"/>
        </w:rPr>
        <w:t>υπ΄αριθμ</w:t>
      </w:r>
      <w:proofErr w:type="spellEnd"/>
      <w:r w:rsidR="00761179" w:rsidRPr="00761179">
        <w:rPr>
          <w:rFonts w:ascii="Arial" w:hAnsi="Arial" w:cs="Arial"/>
          <w:sz w:val="24"/>
          <w:szCs w:val="24"/>
        </w:rPr>
        <w:t xml:space="preserve">. 212/5-10-2020  απόφαση του Διοικητικού Συμβούλιου (ΑΔΑ: Ψ9Δ3ΟΛΣ4-24Ω) αποφάσισε την ΔΩΡΕΑΝ φιλοξενία των μη ωφελούμενων της Πράξης «Εναρμόνιση οικογενειακής και επαγγελματικής ζωής» στα ΚΔΑΠ </w:t>
      </w:r>
      <w:r w:rsidR="00761179" w:rsidRPr="00761179">
        <w:rPr>
          <w:rFonts w:ascii="Arial" w:hAnsi="Arial" w:cs="Arial"/>
          <w:sz w:val="24"/>
          <w:szCs w:val="24"/>
        </w:rPr>
        <w:lastRenderedPageBreak/>
        <w:t>του Δ</w:t>
      </w:r>
      <w:r w:rsidR="00761179">
        <w:rPr>
          <w:rFonts w:ascii="Arial" w:hAnsi="Arial" w:cs="Arial"/>
          <w:sz w:val="24"/>
          <w:szCs w:val="24"/>
        </w:rPr>
        <w:t xml:space="preserve">ήμου κατά την περίοδο 2020-2021 , </w:t>
      </w:r>
      <w:r w:rsidR="00761179" w:rsidRPr="00761179">
        <w:rPr>
          <w:rFonts w:ascii="Arial" w:hAnsi="Arial" w:cs="Arial"/>
          <w:sz w:val="24"/>
          <w:szCs w:val="24"/>
        </w:rPr>
        <w:t>θέλοντας να στηρίξει   τις εργαζόμενες, άνεργες και οικονομικά ασθενείς οικογένειες</w:t>
      </w:r>
      <w:r w:rsidR="00761179">
        <w:rPr>
          <w:rFonts w:ascii="Arial" w:hAnsi="Arial" w:cs="Arial"/>
          <w:sz w:val="24"/>
          <w:szCs w:val="24"/>
        </w:rPr>
        <w:t xml:space="preserve">. </w:t>
      </w:r>
    </w:p>
    <w:p w:rsidR="00466DEC" w:rsidRDefault="00761179" w:rsidP="00EB4F9B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4C59" w:rsidRPr="00394C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Επιπλέον</w:t>
      </w:r>
      <w:r w:rsidR="00466DEC">
        <w:rPr>
          <w:rFonts w:ascii="Arial" w:hAnsi="Arial" w:cs="Arial"/>
          <w:sz w:val="24"/>
          <w:szCs w:val="24"/>
        </w:rPr>
        <w:t xml:space="preserve"> για να παραμείνουν ζωντανές και διαθέσιμες οι δομές στους δημότες και με ύψιστη προτεραιότητα το εργασιακό δικαίωμα ώστε να μην κινδυνεύσει να απολέσει την εργασία του κανένας, </w:t>
      </w:r>
      <w:r w:rsidR="00466DEC">
        <w:rPr>
          <w:rFonts w:ascii="Arial" w:hAnsi="Arial" w:cs="Arial"/>
          <w:sz w:val="25"/>
          <w:szCs w:val="25"/>
        </w:rPr>
        <w:t>ανανεώθηκαν ομόφωνα</w:t>
      </w:r>
      <w:r w:rsidR="00466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με την </w:t>
      </w:r>
      <w:r>
        <w:rPr>
          <w:rFonts w:ascii="Arial" w:hAnsi="Arial" w:cs="Arial"/>
          <w:sz w:val="25"/>
          <w:szCs w:val="25"/>
        </w:rPr>
        <w:t xml:space="preserve"> υπ’ αριθ. 193/2020 (ΑΔΑ:</w:t>
      </w:r>
      <w:r w:rsidR="00394C59">
        <w:rPr>
          <w:rFonts w:ascii="Arial" w:hAnsi="Arial" w:cs="Arial"/>
          <w:sz w:val="25"/>
          <w:szCs w:val="25"/>
        </w:rPr>
        <w:t xml:space="preserve"> ΩΧΡ2ΟΛΣ4-9ΩΞ) απόφαση του</w:t>
      </w:r>
      <w:r w:rsidR="00394C59" w:rsidRPr="00394C59">
        <w:rPr>
          <w:rFonts w:ascii="Arial" w:hAnsi="Arial" w:cs="Arial"/>
          <w:sz w:val="24"/>
          <w:szCs w:val="24"/>
        </w:rPr>
        <w:t xml:space="preserve"> </w:t>
      </w:r>
      <w:r w:rsidR="00394C59" w:rsidRPr="00761179">
        <w:rPr>
          <w:rFonts w:ascii="Arial" w:hAnsi="Arial" w:cs="Arial"/>
          <w:sz w:val="24"/>
          <w:szCs w:val="24"/>
        </w:rPr>
        <w:t>Διοικητικού Συμβούλιου</w:t>
      </w:r>
      <w:r w:rsidR="00394C5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, </w:t>
      </w:r>
      <w:r w:rsidR="007F438C">
        <w:rPr>
          <w:rFonts w:ascii="Arial" w:hAnsi="Arial" w:cs="Arial"/>
          <w:sz w:val="25"/>
          <w:szCs w:val="25"/>
        </w:rPr>
        <w:t xml:space="preserve">όλες οι συμβάσεις </w:t>
      </w:r>
      <w:r w:rsidR="00394C59" w:rsidRPr="00394C59">
        <w:rPr>
          <w:rFonts w:ascii="Arial" w:hAnsi="Arial" w:cs="Arial"/>
          <w:sz w:val="25"/>
          <w:szCs w:val="25"/>
        </w:rPr>
        <w:t xml:space="preserve"> </w:t>
      </w:r>
      <w:r w:rsidR="00394C59">
        <w:rPr>
          <w:rFonts w:ascii="Arial" w:hAnsi="Arial" w:cs="Arial"/>
          <w:sz w:val="25"/>
          <w:szCs w:val="25"/>
        </w:rPr>
        <w:t xml:space="preserve">και </w:t>
      </w:r>
      <w:r w:rsidR="007F438C">
        <w:rPr>
          <w:rFonts w:ascii="Arial" w:hAnsi="Arial" w:cs="Arial"/>
          <w:sz w:val="25"/>
          <w:szCs w:val="25"/>
        </w:rPr>
        <w:t xml:space="preserve">των </w:t>
      </w:r>
      <w:proofErr w:type="spellStart"/>
      <w:r w:rsidR="007F438C">
        <w:rPr>
          <w:rFonts w:ascii="Arial" w:hAnsi="Arial" w:cs="Arial"/>
          <w:sz w:val="25"/>
          <w:szCs w:val="25"/>
        </w:rPr>
        <w:t>τριαντατεσσάρων</w:t>
      </w:r>
      <w:proofErr w:type="spellEnd"/>
      <w:r>
        <w:rPr>
          <w:rFonts w:ascii="Arial" w:hAnsi="Arial" w:cs="Arial"/>
          <w:sz w:val="25"/>
          <w:szCs w:val="25"/>
        </w:rPr>
        <w:t xml:space="preserve"> απασχολούμενων στις δομές της επιχείρησης μέχρι 31/08/2021.</w:t>
      </w:r>
    </w:p>
    <w:p w:rsidR="00466DEC" w:rsidRDefault="00761179" w:rsidP="00466D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4C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Συμπερασματικά η επιπλέον χρηματοδότηση από  το πρόγραμμα </w:t>
      </w:r>
      <w:r w:rsidR="00466DEC" w:rsidRPr="00EB4F9B">
        <w:rPr>
          <w:rFonts w:ascii="Arial" w:hAnsi="Arial" w:cs="Arial"/>
          <w:b/>
          <w:sz w:val="24"/>
          <w:szCs w:val="24"/>
        </w:rPr>
        <w:t xml:space="preserve">«Φιλόδημος </w:t>
      </w:r>
      <w:r w:rsidR="00466DEC" w:rsidRPr="00EB4F9B">
        <w:rPr>
          <w:rFonts w:ascii="Arial" w:hAnsi="Arial" w:cs="Arial"/>
          <w:b/>
          <w:sz w:val="24"/>
          <w:szCs w:val="24"/>
          <w:lang w:val="en-US"/>
        </w:rPr>
        <w:t>II</w:t>
      </w:r>
      <w:r w:rsidR="00466DEC" w:rsidRPr="00EB4F9B">
        <w:rPr>
          <w:rFonts w:ascii="Arial" w:hAnsi="Arial" w:cs="Arial"/>
          <w:b/>
          <w:sz w:val="24"/>
          <w:szCs w:val="24"/>
        </w:rPr>
        <w:t>»</w:t>
      </w:r>
      <w:r w:rsidR="00466DEC">
        <w:rPr>
          <w:rFonts w:ascii="Arial" w:hAnsi="Arial" w:cs="Arial"/>
          <w:b/>
          <w:sz w:val="24"/>
          <w:szCs w:val="24"/>
        </w:rPr>
        <w:t xml:space="preserve">  </w:t>
      </w:r>
      <w:r w:rsidR="00466DEC">
        <w:rPr>
          <w:rFonts w:ascii="Arial" w:hAnsi="Arial" w:cs="Arial"/>
          <w:sz w:val="24"/>
          <w:szCs w:val="24"/>
        </w:rPr>
        <w:t>αποτελε</w:t>
      </w:r>
      <w:r w:rsidR="002D5CAC">
        <w:rPr>
          <w:rFonts w:ascii="Arial" w:hAnsi="Arial" w:cs="Arial"/>
          <w:sz w:val="24"/>
          <w:szCs w:val="24"/>
        </w:rPr>
        <w:t>ί μια σημαντική βοήθεια για την</w:t>
      </w:r>
      <w:r w:rsidR="002D5CAC" w:rsidRPr="002D5CAC">
        <w:rPr>
          <w:rFonts w:ascii="Arial" w:hAnsi="Arial" w:cs="Arial"/>
          <w:sz w:val="24"/>
          <w:szCs w:val="24"/>
        </w:rPr>
        <w:t xml:space="preserve"> δημοτική </w:t>
      </w:r>
      <w:r w:rsidR="00466DEC">
        <w:rPr>
          <w:rFonts w:ascii="Arial" w:hAnsi="Arial" w:cs="Arial"/>
          <w:sz w:val="24"/>
          <w:szCs w:val="24"/>
        </w:rPr>
        <w:t xml:space="preserve">επιχείρηση </w:t>
      </w:r>
      <w:r w:rsidR="007F438C">
        <w:rPr>
          <w:rFonts w:ascii="Arial" w:hAnsi="Arial" w:cs="Arial"/>
          <w:sz w:val="24"/>
          <w:szCs w:val="24"/>
        </w:rPr>
        <w:t xml:space="preserve">για </w:t>
      </w:r>
      <w:r w:rsidR="00466DEC">
        <w:rPr>
          <w:rFonts w:ascii="Arial" w:hAnsi="Arial" w:cs="Arial"/>
          <w:sz w:val="24"/>
          <w:szCs w:val="24"/>
        </w:rPr>
        <w:t>να καταφέρει με επιτυχία το κοινωνικό της έργο</w:t>
      </w:r>
      <w:r w:rsidR="007F438C">
        <w:rPr>
          <w:rFonts w:ascii="Arial" w:hAnsi="Arial" w:cs="Arial"/>
          <w:sz w:val="24"/>
          <w:szCs w:val="24"/>
        </w:rPr>
        <w:t xml:space="preserve"> ώστε να στηρίξει</w:t>
      </w:r>
      <w:r w:rsidR="007F438C" w:rsidRPr="007F438C">
        <w:rPr>
          <w:rFonts w:ascii="Arial" w:hAnsi="Arial" w:cs="Arial"/>
          <w:sz w:val="24"/>
          <w:szCs w:val="24"/>
        </w:rPr>
        <w:t xml:space="preserve"> στο μέγιστο των δυνατοτήτων της, τις εργαζόμενες, άνεργες και οικονομικά ασθενείς μητέρες.</w:t>
      </w:r>
    </w:p>
    <w:p w:rsidR="007F438C" w:rsidRPr="00297B3C" w:rsidRDefault="00016551" w:rsidP="00466D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E73DB">
        <w:rPr>
          <w:rFonts w:ascii="Arial" w:hAnsi="Arial" w:cs="Arial"/>
          <w:sz w:val="24"/>
          <w:szCs w:val="24"/>
        </w:rPr>
        <w:t xml:space="preserve">   Νιώθοντας μεγάλη  ικανοποίηση για</w:t>
      </w:r>
      <w:r w:rsidR="00297B3C">
        <w:rPr>
          <w:rFonts w:ascii="Arial" w:hAnsi="Arial" w:cs="Arial"/>
          <w:sz w:val="24"/>
          <w:szCs w:val="24"/>
        </w:rPr>
        <w:t xml:space="preserve"> την επίτ</w:t>
      </w:r>
      <w:r w:rsidR="007E73DB">
        <w:rPr>
          <w:rFonts w:ascii="Arial" w:hAnsi="Arial" w:cs="Arial"/>
          <w:sz w:val="24"/>
          <w:szCs w:val="24"/>
        </w:rPr>
        <w:t>ευξη του στόχου μας</w:t>
      </w:r>
      <w:r w:rsidR="00297B3C">
        <w:rPr>
          <w:rFonts w:ascii="Arial" w:hAnsi="Arial" w:cs="Arial"/>
          <w:sz w:val="24"/>
          <w:szCs w:val="24"/>
        </w:rPr>
        <w:t xml:space="preserve">, θέλουμε </w:t>
      </w:r>
      <w:r w:rsidR="00297B3C" w:rsidRPr="00297B3C">
        <w:rPr>
          <w:rFonts w:ascii="Arial" w:hAnsi="Arial" w:cs="Arial"/>
          <w:b/>
          <w:sz w:val="24"/>
          <w:szCs w:val="24"/>
        </w:rPr>
        <w:t>να ευχαριστήσουμε θερμά</w:t>
      </w:r>
      <w:r w:rsidR="007E73DB">
        <w:rPr>
          <w:rFonts w:ascii="Arial" w:hAnsi="Arial" w:cs="Arial"/>
          <w:sz w:val="24"/>
          <w:szCs w:val="24"/>
        </w:rPr>
        <w:t>,</w:t>
      </w:r>
      <w:r w:rsidR="00297B3C">
        <w:rPr>
          <w:rFonts w:ascii="Arial" w:hAnsi="Arial" w:cs="Arial"/>
          <w:sz w:val="24"/>
          <w:szCs w:val="24"/>
        </w:rPr>
        <w:t xml:space="preserve"> όλους όσους συνέβαλαν καθοριστικά στην διεκδίκηση  της </w:t>
      </w:r>
      <w:r w:rsidR="007E73DB">
        <w:rPr>
          <w:rFonts w:ascii="Arial" w:hAnsi="Arial" w:cs="Arial"/>
          <w:sz w:val="24"/>
          <w:szCs w:val="24"/>
        </w:rPr>
        <w:t xml:space="preserve"> επιπλέον </w:t>
      </w:r>
      <w:r w:rsidR="00297B3C">
        <w:rPr>
          <w:rFonts w:ascii="Arial" w:hAnsi="Arial" w:cs="Arial"/>
          <w:sz w:val="24"/>
          <w:szCs w:val="24"/>
        </w:rPr>
        <w:t xml:space="preserve">επιχορήγησης, </w:t>
      </w:r>
      <w:r w:rsidR="00297B3C" w:rsidRPr="00297B3C">
        <w:rPr>
          <w:rFonts w:ascii="Arial" w:hAnsi="Arial" w:cs="Arial"/>
          <w:sz w:val="24"/>
          <w:szCs w:val="24"/>
        </w:rPr>
        <w:t>για την κάλυψη</w:t>
      </w:r>
      <w:r w:rsidR="0053708B">
        <w:rPr>
          <w:rFonts w:ascii="Arial" w:hAnsi="Arial" w:cs="Arial"/>
          <w:sz w:val="24"/>
          <w:szCs w:val="24"/>
        </w:rPr>
        <w:t xml:space="preserve"> των</w:t>
      </w:r>
      <w:r w:rsidR="00297B3C" w:rsidRPr="00297B3C">
        <w:rPr>
          <w:rFonts w:ascii="Arial" w:hAnsi="Arial" w:cs="Arial"/>
          <w:sz w:val="24"/>
          <w:szCs w:val="24"/>
        </w:rPr>
        <w:t xml:space="preserve"> κοινωνικών υπηρεσιών από τις δομές των Κέντρων Δημιουργικής Απασχόλησης Παιδιών.  </w:t>
      </w:r>
      <w:r w:rsidR="00394C59" w:rsidRPr="00297B3C">
        <w:rPr>
          <w:rFonts w:ascii="Arial" w:hAnsi="Arial" w:cs="Arial"/>
          <w:sz w:val="24"/>
          <w:szCs w:val="24"/>
        </w:rPr>
        <w:t xml:space="preserve">   </w:t>
      </w:r>
    </w:p>
    <w:p w:rsidR="00394C59" w:rsidRDefault="00394C59" w:rsidP="00466D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4C59" w:rsidRDefault="00394C59" w:rsidP="00466D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4C59" w:rsidRPr="007F438C" w:rsidRDefault="00394C59" w:rsidP="00466D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6DEC" w:rsidRDefault="007F438C" w:rsidP="007F43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Πρόεδρος της ΚΕΔΗΚ,</w:t>
      </w:r>
    </w:p>
    <w:p w:rsidR="007F438C" w:rsidRPr="00761179" w:rsidRDefault="007F438C" w:rsidP="007F43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Ηρακλής </w:t>
      </w:r>
      <w:proofErr w:type="spellStart"/>
      <w:r>
        <w:rPr>
          <w:rFonts w:ascii="Arial" w:hAnsi="Arial" w:cs="Arial"/>
          <w:sz w:val="24"/>
          <w:szCs w:val="24"/>
        </w:rPr>
        <w:t>Λειβαδιώτης</w:t>
      </w:r>
      <w:proofErr w:type="spellEnd"/>
    </w:p>
    <w:sectPr w:rsidR="007F438C" w:rsidRPr="00761179" w:rsidSect="00A52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B48"/>
    <w:rsid w:val="00016551"/>
    <w:rsid w:val="000B7B48"/>
    <w:rsid w:val="00297B3C"/>
    <w:rsid w:val="002D5CAC"/>
    <w:rsid w:val="00394C59"/>
    <w:rsid w:val="00466DEC"/>
    <w:rsid w:val="0053708B"/>
    <w:rsid w:val="00761179"/>
    <w:rsid w:val="007E73DB"/>
    <w:rsid w:val="007F438C"/>
    <w:rsid w:val="0080214D"/>
    <w:rsid w:val="00932F37"/>
    <w:rsid w:val="00A52AD3"/>
    <w:rsid w:val="00AF63CD"/>
    <w:rsid w:val="00B53992"/>
    <w:rsid w:val="00BA799F"/>
    <w:rsid w:val="00EB4F9B"/>
    <w:rsid w:val="00F5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4F9B"/>
    <w:rPr>
      <w:i/>
      <w:iCs/>
    </w:rPr>
  </w:style>
  <w:style w:type="table" w:styleId="a4">
    <w:name w:val="Table Grid"/>
    <w:basedOn w:val="a1"/>
    <w:uiPriority w:val="59"/>
    <w:rsid w:val="00BA7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2020-11-15T20:17:00Z</dcterms:created>
  <dcterms:modified xsi:type="dcterms:W3CDTF">2020-11-16T12:51:00Z</dcterms:modified>
</cp:coreProperties>
</file>